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5" w:hRule="exact"/>
          <w:jc w:val="center"/>
        </w:trPr>
        <w:tc>
          <w:tcPr>
            <w:tcW w:w="8843" w:type="dxa"/>
            <w:vAlign w:val="top"/>
          </w:tcPr>
          <w:p>
            <w:pPr>
              <w:wordWrap/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b w:val="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843" w:type="dxa"/>
            <w:vAlign w:val="top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8843" w:type="dxa"/>
            <w:vAlign w:val="top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left"/>
              <w:rPr>
                <w:rFonts w:hint="eastAsia" w:ascii="方正黑体_GBK" w:hAnsi="方正黑体_GBK" w:eastAsia="方正黑体_GBK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  <w:jc w:val="center"/>
        </w:trPr>
        <w:tc>
          <w:tcPr>
            <w:tcW w:w="8843" w:type="dxa"/>
            <w:vAlign w:val="center"/>
          </w:tcPr>
          <w:p>
            <w:pPr>
              <w:widowControl w:val="0"/>
              <w:tabs>
                <w:tab w:val="left" w:pos="3105"/>
              </w:tabs>
              <w:spacing w:line="240" w:lineRule="auto"/>
              <w:ind w:left="0" w:leftChars="0" w:right="0" w:firstLine="0" w:firstLineChars="0"/>
              <w:jc w:val="both"/>
              <w:rPr>
                <w:rFonts w:hint="eastAsia" w:ascii="方正黑体_GBK" w:hAnsi="方正黑体_GBK" w:eastAsia="方正黑体_GBK"/>
                <w:color w:val="auto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  <w:hidden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920" w:lineRule="exact"/>
              <w:ind w:left="0" w:leftChars="0" w:right="0" w:firstLine="0" w:firstLineChars="0"/>
              <w:jc w:val="distribute"/>
              <w:textAlignment w:val="baseline"/>
              <w:outlineLvl w:val="9"/>
              <w:rPr>
                <w:rFonts w:hint="eastAsia" w:ascii="方正小标宋_GBK" w:eastAsia="方正小标宋_GBK"/>
                <w:color w:val="FF0000"/>
                <w:sz w:val="84"/>
              </w:rPr>
            </w:pPr>
            <w:r>
              <w:rPr>
                <w:rFonts w:hint="eastAsia" w:ascii="方正小标宋_GBK" w:hAnsi="方正小标宋_GBK" w:eastAsia="方正小标宋_GBK"/>
                <w:vanish/>
                <w:color w:val="EB410C"/>
                <w:spacing w:val="0"/>
                <w:w w:val="90"/>
                <w:sz w:val="84"/>
              </w:rPr>
              <w:t>浙江省电力学会文件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exact"/>
          <w:jc w:val="center"/>
        </w:trPr>
        <w:tc>
          <w:tcPr>
            <w:tcW w:w="8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/>
                <w:b/>
                <w:color w:val="FF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lang w:eastAsia="zh-CN"/>
              </w:rPr>
              <w:t>浙电学〔2021〕23号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 w:hRule="exact"/>
          <w:jc w:val="center"/>
        </w:trPr>
        <w:tc>
          <w:tcPr>
            <w:tcW w:w="884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仿宋_GBK" w:hAnsi="方正仿宋_GBK"/>
                <w:b/>
                <w:sz w:val="21"/>
              </w:rPr>
            </w:pPr>
            <w:r>
              <w:rPr>
                <w:rFonts w:ascii="仿宋_GB2312"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132715</wp:posOffset>
                      </wp:positionV>
                      <wp:extent cx="561530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530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EB410C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10.45pt;height:0.05pt;width:442.15pt;mso-position-vertical-relative:page;z-index:251658240;mso-width-relative:page;mso-height-relative:page;" filled="f" stroked="t" coordsize="21600,21600" o:gfxdata="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amI11gAAAAgBAAAPAAAA&#10;AAAAAAEAIAAAACIAAABkcnMvZG93bnJldi54bWxQSwECFAAUAAAACACHTuJAJfHnYd4BAACZAwAA&#10;DgAAAAAAAAABACAAAAAlAQAAZHJzL2Uyb0RvYy54bWxQSwUGAAAAAAYABgBZAQAAdQUAAAAA&#10;">
                      <v:path arrowok="t"/>
                      <v:fill on="f" focussize="0,0"/>
                      <v:stroke weight="1.25pt" color="#EB410C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exact"/>
          <w:jc w:val="center"/>
        </w:trPr>
        <w:tc>
          <w:tcPr>
            <w:tcW w:w="8843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仿宋_GB2312"/>
                <w:b/>
                <w:sz w:val="4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8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方正小标宋_GBK" w:hAnsi="宋体" w:eastAsia="方正小标宋_GBK"/>
                <w:sz w:val="44"/>
                <w:lang w:eastAsia="zh-CN"/>
              </w:rPr>
            </w:pPr>
            <w:r>
              <w:rPr>
                <w:rFonts w:hint="eastAsia" w:ascii="方正小标宋_GBK" w:hAnsi="宋体" w:eastAsia="方正小标宋_GBK"/>
                <w:sz w:val="44"/>
                <w:lang w:eastAsia="zh-CN"/>
              </w:rPr>
              <w:t>浙江省电力学会关于命名电力科普教育基地（2021年度）的通知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3" w:type="dxa"/>
            <w:vAlign w:val="center"/>
          </w:tcPr>
          <w:p>
            <w:pPr>
              <w:spacing w:line="240" w:lineRule="auto"/>
              <w:rPr>
                <w:rFonts w:hint="eastAsia" w:ascii="仿宋_GB2312" w:hAnsi="方正仿宋_GBK"/>
              </w:rPr>
            </w:pPr>
            <w:r>
              <w:rPr>
                <w:rFonts w:hint="eastAsia" w:ascii="方正仿宋_GBK" w:hAnsi="方正仿宋_GBK" w:eastAsia="方正仿宋_GBK"/>
                <w:lang w:eastAsia="zh-CN"/>
              </w:rPr>
              <w:t>各有关单位：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/>
          <w:lang w:val="en-US" w:eastAsia="zh-CN"/>
        </w:rPr>
      </w:pPr>
      <w:r>
        <w:rPr>
          <w:rFonts w:hint="eastAsia" w:ascii="方正仿宋_GBK" w:hAnsi="方正仿宋_GBK" w:eastAsia="方正仿宋_GBK"/>
          <w:lang w:eastAsia="zh-CN"/>
        </w:rPr>
        <w:t>为贯彻落实《中华人民共和国科学技术普及法》、《全民科学素质行动计划纲要（</w:t>
      </w:r>
      <w:r>
        <w:rPr>
          <w:rFonts w:hint="eastAsia" w:ascii="方正仿宋_GBK" w:hAnsi="方正仿宋_GBK" w:eastAsia="方正仿宋_GBK"/>
          <w:lang w:val="en-US" w:eastAsia="zh-CN"/>
        </w:rPr>
        <w:t>2021－2035年</w:t>
      </w:r>
      <w:r>
        <w:rPr>
          <w:rFonts w:hint="eastAsia" w:ascii="方正仿宋_GBK" w:hAnsi="方正仿宋_GBK" w:eastAsia="方正仿宋_GBK"/>
          <w:lang w:eastAsia="zh-CN"/>
        </w:rPr>
        <w:t>）》以及浙江省电力学会（以下简称学会）科普工作中长期发展规划，挖掘和综合利用我省电力行业科普教育资源，宣传普及电力科学技术知识，根据《电力科普教育基地认定办法》（以下简称《办法》），学会组织开展了</w:t>
      </w:r>
      <w:r>
        <w:rPr>
          <w:rFonts w:hint="eastAsia" w:ascii="方正仿宋_GBK" w:hAnsi="方正仿宋_GBK" w:eastAsia="方正仿宋_GBK"/>
          <w:lang w:val="en-US" w:eastAsia="zh-CN"/>
        </w:rPr>
        <w:t>2021年度电力科普教育基地的认定工作。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/>
          <w:lang w:val="en-US" w:eastAsia="zh-CN"/>
        </w:rPr>
      </w:pPr>
      <w:r>
        <w:rPr>
          <w:rFonts w:hint="eastAsia" w:ascii="方正仿宋_GBK" w:hAnsi="方正仿宋_GBK" w:eastAsia="方正仿宋_GBK"/>
          <w:lang w:val="en-US" w:eastAsia="zh-CN"/>
        </w:rPr>
        <w:t>学会组织对新申报和续报的科普基地进行形式审查与实地考察，并召开科普基地认定评审会。经会议审议通过，现决定命名“丽水电力科普馆”等15个单位为电力科普教育基地，示范期为2022－2026年。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/>
          <w:lang w:val="en-US" w:eastAsia="zh-CN"/>
        </w:rPr>
      </w:pPr>
      <w:r>
        <w:rPr>
          <w:rFonts w:hint="eastAsia" w:ascii="方正仿宋_GBK" w:hAnsi="方正仿宋_GBK" w:eastAsia="方正仿宋_GBK"/>
          <w:lang w:val="en-US" w:eastAsia="zh-CN"/>
        </w:rPr>
        <w:t>各主管单位要根据《办法》，进一步加强对电力科普教育基地的指导和管理，为其开展科普工作提供便利条件。获得命名的电力科普教育基地应按照《办法》，按时向学会报备年度工作计划和工作总结，不断完善科普条件，促进科技成果科普化，丰富科普活动组织形式和内容，全面提升电力科普能力，为电力科学技术知识的传播作出更大的贡献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方正仿宋_GBK" w:hAnsi="方正仿宋_GBK" w:eastAsia="方正仿宋_GBK"/>
        </w:rPr>
      </w:pPr>
    </w:p>
    <w:tbl>
      <w:tblPr>
        <w:tblStyle w:val="3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7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tLeast"/>
              <w:ind w:left="0" w:leftChars="0" w:right="0" w:firstLine="0" w:firstLineChars="0"/>
              <w:jc w:val="right"/>
              <w:textAlignment w:val="baseline"/>
              <w:outlineLvl w:val="9"/>
              <w:rPr>
                <w:rFonts w:hint="eastAsia" w:ascii="方正仿宋_GBK" w:hAnsi="方正仿宋_GBK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lang w:eastAsia="zh-CN"/>
              </w:rPr>
              <w:t>附件：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autoSpaceDE/>
              <w:autoSpaceDN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left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32"/>
                <w:lang w:val="en-US" w:eastAsia="zh-CN"/>
              </w:rPr>
              <w:t>电力科普教育基地（2022－2026年）名单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textAlignment w:val="baseline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textAlignment w:val="baseline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rPr>
          <w:rFonts w:hint="eastAsia" w:ascii="方正仿宋_GBK" w:hAnsi="方正仿宋_GBK" w:eastAsia="方正仿宋_GBK"/>
          <w:lang w:eastAsia="zh-CN"/>
        </w:rPr>
      </w:pPr>
      <w:r>
        <w:rPr>
          <w:rFonts w:hint="eastAsia" w:ascii="方正仿宋_GBK" w:hAnsi="方正仿宋_GBK" w:eastAsia="方正仿宋_GBK"/>
          <w:lang w:eastAsia="zh-CN"/>
        </w:rPr>
        <w:t>　浙江省电力学会   　　　</w:t>
      </w:r>
    </w:p>
    <w:p>
      <w:pPr>
        <w:keepNext w:val="0"/>
        <w:keepLines w:val="0"/>
        <w:pageBreakBefore w:val="0"/>
        <w:widowControl w:val="0"/>
        <w:kinsoku/>
        <w:wordWrap w:val="0"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  <w:r>
        <w:rPr>
          <w:rFonts w:hint="eastAsia" w:ascii="方正仿宋_GBK" w:hAnsi="方正仿宋_GBK" w:eastAsia="方正仿宋_GBK"/>
          <w:lang w:eastAsia="zh-CN"/>
        </w:rPr>
        <w:t>2021年8月4日　　　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lef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  <w:r>
        <w:rPr>
          <w:rFonts w:hint="eastAsia" w:ascii="方正仿宋_GBK" w:hAnsi="方正仿宋_GBK" w:eastAsia="方正仿宋_GBK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  <w:t>电力科普教育基地（2022－2026年）名单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</w:pPr>
      <w:r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  <w:t>3家到期继续命名授牌基地：</w:t>
      </w: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379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湖州电力教育博物馆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浙江省电力公司配网带电作业培训基地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湖州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浙江省节能环保绿色能源科普教育基地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浙江浙能电力股份有限公司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嘉兴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嘉兴电力博物馆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国网浙江省电力有限公司嘉兴供电公司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嘉兴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</w:pPr>
      <w:r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  <w:t>12家新命名授牌基地：</w:t>
      </w: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379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综合能源科普教育基地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国网浙江杭州市余杭区供电有限公司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杭州九峰垃圾焚烧发电科普基地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光大环保能源（杭州）有限公司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安全警示教育基地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国网浙江省电力有限公司嘉兴供电公司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嘉兴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秦山核电科技馆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中核核电运行管理有限公司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嘉兴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平安用电教育基地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国网浙江诸暨市供电有限公司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highlight w:val="cyan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highlight w:val="none"/>
                <w:vertAlign w:val="baseline"/>
                <w:lang w:val="en-US" w:eastAsia="zh-CN"/>
              </w:rPr>
              <w:t>天荒坪抽水蓄能“两山”展示馆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华东天荒坪抽水蓄能有限责任公司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湖州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全电压带电作业科普教育基地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国网浙江省电力有限公司金华供电公司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浙能兰电企业科普展厅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浙江省能源集团有限公司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highlight w:val="none"/>
                <w:vertAlign w:val="baseline"/>
                <w:lang w:val="en-US" w:eastAsia="zh-CN"/>
              </w:rPr>
              <w:t>衢江电力科普基地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国网浙江省电力有限公司衢州供电公司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衢州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highlight w:val="none"/>
                <w:vertAlign w:val="baseline"/>
                <w:lang w:val="en-US" w:eastAsia="zh-CN"/>
              </w:rPr>
              <w:t>衢州供电服务科普基地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国网浙江省电力有限公司衢州供电公司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衢州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三门核电公众科普展厅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三门核电有限公司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18"/>
                <w:lang w:val="en-US" w:eastAsia="zh-CN"/>
              </w:rPr>
              <w:t>丽水电力科普馆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 w:right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国网浙江省电力有限公司丽水供电公司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pacing w:val="-6"/>
                <w:kern w:val="2"/>
                <w:sz w:val="28"/>
                <w:szCs w:val="18"/>
                <w:vertAlign w:val="baseline"/>
                <w:lang w:val="en-US" w:eastAsia="zh-CN"/>
              </w:rPr>
              <w:t>丽水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right"/>
        <w:textAlignment w:val="baseline"/>
        <w:outlineLvl w:val="9"/>
        <w:rPr>
          <w:rFonts w:hint="eastAsia" w:ascii="方正仿宋_GBK" w:hAnsi="方正仿宋_GBK" w:eastAsia="方正仿宋_GBK"/>
          <w:lang w:eastAsia="zh-CN"/>
        </w:rPr>
      </w:pPr>
    </w:p>
    <w:tbl>
      <w:tblPr>
        <w:tblStyle w:val="3"/>
        <w:tblpPr w:leftFromText="182" w:rightFromText="182" w:horzAnchor="margin" w:tblpXSpec="center" w:tblpYSpec="bottom"/>
        <w:tblW w:w="8843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2339"/>
        <w:gridCol w:w="5126"/>
        <w:gridCol w:w="26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112" w:type="dxa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0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>　抄送：</w:t>
            </w:r>
          </w:p>
        </w:tc>
        <w:tc>
          <w:tcPr>
            <w:tcW w:w="746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4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lang w:eastAsia="zh-CN"/>
              </w:rPr>
              <w:t>各会员单位, 各专业委员会, 各地区学会。</w:t>
            </w:r>
          </w:p>
        </w:tc>
        <w:tc>
          <w:tcPr>
            <w:tcW w:w="26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4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345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>　浙江省电力学会</w:t>
            </w:r>
          </w:p>
        </w:tc>
        <w:tc>
          <w:tcPr>
            <w:tcW w:w="5392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方正仿宋_GBK" w:hAnsi="方正仿宋_GBK" w:eastAsia="方正仿宋_GBK"/>
                <w:sz w:val="28"/>
                <w:lang w:val="en-US" w:eastAsia="zh-CN"/>
              </w:rPr>
              <w:t>2021年8月4日</w:t>
            </w:r>
            <w:r>
              <w:rPr>
                <w:rFonts w:hint="eastAsia" w:ascii="方正仿宋_GBK" w:hAnsi="方正仿宋_GBK" w:eastAsia="方正仿宋_GBK"/>
                <w:sz w:val="28"/>
              </w:rPr>
              <w:t>印发</w:t>
            </w:r>
            <w:r>
              <w:rPr>
                <w:rFonts w:hint="eastAsia" w:ascii="方正仿宋_GBK" w:hAnsi="方正仿宋_GBK" w:eastAsia="方正仿宋_GBK"/>
                <w:sz w:val="28"/>
                <w:lang w:eastAsia="zh-CN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2093"/>
    <w:rsid w:val="4A7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2021-08-04T06:42:00Z</dcterms:created>
  <dc:creator>吴侃侃</dc:creator>
  <cp:lastModifiedBy>吴侃侃</cp:lastModifiedBy>
  <dcterms:modified xsi:type="dcterms:W3CDTF">2021-08-04T06:43:36Z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